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6"/>
        </w:rPr>
      </w:pPr>
      <w:r>
        <w:rPr>
          <w:rFonts w:hint="eastAsia" w:ascii="宋体" w:hAnsi="宋体" w:cs="宋体"/>
          <w:b/>
          <w:bCs/>
          <w:color w:val="FF0000"/>
          <w:spacing w:val="-11"/>
          <w:sz w:val="36"/>
          <w:highlight w:val="none"/>
          <w:lang w:val="en-US" w:eastAsia="zh-CN"/>
        </w:rPr>
        <w:t>XXX</w:t>
      </w:r>
      <w:r>
        <w:rPr>
          <w:rFonts w:hint="eastAsia" w:ascii="宋体" w:hAnsi="宋体" w:cs="宋体"/>
          <w:b/>
          <w:bCs/>
          <w:spacing w:val="-11"/>
          <w:sz w:val="36"/>
          <w:lang w:val="en-US" w:eastAsia="zh-CN"/>
        </w:rPr>
        <w:t>项目</w:t>
      </w:r>
      <w:r>
        <w:rPr>
          <w:rFonts w:hint="eastAsia" w:ascii="宋体" w:hAnsi="宋体" w:cs="宋体"/>
          <w:b/>
          <w:bCs/>
          <w:sz w:val="36"/>
          <w:lang w:val="en-US" w:eastAsia="zh-CN"/>
        </w:rPr>
        <w:t>市场调研</w:t>
      </w:r>
      <w:r>
        <w:rPr>
          <w:rFonts w:hint="eastAsia" w:ascii="宋体" w:hAnsi="宋体" w:eastAsia="宋体" w:cs="宋体"/>
          <w:b/>
          <w:bCs/>
          <w:sz w:val="36"/>
        </w:rPr>
        <w:t>表</w:t>
      </w:r>
    </w:p>
    <w:p>
      <w:pPr>
        <w:outlineLvl w:val="9"/>
        <w:rPr>
          <w:rFonts w:hint="eastAsia" w:ascii="宋体" w:hAnsi="宋体" w:eastAsia="宋体" w:cs="宋体"/>
          <w:b w:val="0"/>
          <w:bCs w:val="0"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b/>
          <w:bCs/>
          <w:i/>
          <w:iCs/>
          <w:color w:val="0000FF"/>
          <w:kern w:val="0"/>
          <w:sz w:val="24"/>
          <w:szCs w:val="24"/>
          <w:u w:val="single"/>
          <w:lang w:val="en-US" w:eastAsia="zh-CN" w:bidi="ar-SA"/>
        </w:rPr>
        <w:t>重要提醒：请参与本项目调查的市场</w:t>
      </w:r>
      <w:r>
        <w:rPr>
          <w:rFonts w:hint="eastAsia" w:ascii="宋体" w:hAnsi="宋体" w:cs="宋体"/>
          <w:b/>
          <w:bCs/>
          <w:i/>
          <w:iCs/>
          <w:color w:val="0000FF"/>
          <w:kern w:val="0"/>
          <w:sz w:val="24"/>
          <w:szCs w:val="24"/>
          <w:u w:val="single"/>
          <w:lang w:val="en-US" w:eastAsia="zh-CN" w:bidi="ar-SA"/>
        </w:rPr>
        <w:t>调研</w:t>
      </w:r>
      <w:r>
        <w:rPr>
          <w:rFonts w:hint="eastAsia" w:ascii="宋体" w:hAnsi="宋体" w:eastAsia="宋体" w:cs="宋体"/>
          <w:b/>
          <w:bCs/>
          <w:i/>
          <w:iCs/>
          <w:color w:val="0000FF"/>
          <w:kern w:val="0"/>
          <w:sz w:val="24"/>
          <w:szCs w:val="24"/>
          <w:u w:val="single"/>
          <w:lang w:val="en-US" w:eastAsia="zh-CN" w:bidi="ar-SA"/>
        </w:rPr>
        <w:t>主体（即被调研供应商）应当充分、准确规范</w:t>
      </w:r>
      <w:r>
        <w:rPr>
          <w:rFonts w:hint="eastAsia" w:ascii="宋体" w:eastAsia="宋体" w:cs="宋体"/>
          <w:b/>
          <w:bCs/>
          <w:i/>
          <w:iCs/>
          <w:color w:val="0000FF"/>
          <w:kern w:val="0"/>
          <w:sz w:val="24"/>
          <w:szCs w:val="24"/>
          <w:u w:val="single"/>
          <w:lang w:val="en-US" w:eastAsia="zh-CN" w:bidi="ar-SA"/>
        </w:rPr>
        <w:t>反映</w:t>
      </w:r>
      <w:r>
        <w:rPr>
          <w:rFonts w:hint="eastAsia" w:ascii="宋体" w:hAnsi="宋体" w:eastAsia="宋体" w:cs="宋体"/>
          <w:b/>
          <w:bCs/>
          <w:i/>
          <w:iCs/>
          <w:color w:val="0000FF"/>
          <w:kern w:val="0"/>
          <w:sz w:val="24"/>
          <w:szCs w:val="24"/>
          <w:u w:val="single"/>
          <w:lang w:val="en-US" w:eastAsia="zh-CN" w:bidi="ar-SA"/>
        </w:rPr>
        <w:t>其相关信息，并对其提供调研资料的真实性负责</w:t>
      </w:r>
      <w:r>
        <w:rPr>
          <w:rFonts w:hint="eastAsia" w:ascii="宋体" w:eastAsia="宋体" w:cs="宋体"/>
          <w:b/>
          <w:bCs/>
          <w:i/>
          <w:iCs/>
          <w:color w:val="0000FF"/>
          <w:kern w:val="0"/>
          <w:sz w:val="24"/>
          <w:szCs w:val="24"/>
          <w:u w:val="single"/>
          <w:lang w:val="en-US" w:eastAsia="zh-CN" w:bidi="ar-SA"/>
        </w:rPr>
        <w:t>，如有蓄意捏造、伪造虚假材料等情形，将依法承担相应责任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4"/>
          <w:szCs w:val="24"/>
          <w:lang w:val="en-US" w:eastAsia="zh-CN" w:bidi="ar-SA"/>
        </w:rPr>
        <w:t>）</w:t>
      </w: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接受需求调查的市场主体基本情况</w:t>
      </w:r>
    </w:p>
    <w:tbl>
      <w:tblPr>
        <w:tblStyle w:val="2"/>
        <w:tblW w:w="50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1428"/>
        <w:gridCol w:w="3"/>
        <w:gridCol w:w="1123"/>
        <w:gridCol w:w="2341"/>
        <w:gridCol w:w="1118"/>
        <w:gridCol w:w="2311"/>
        <w:gridCol w:w="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575" w:hRule="atLeast"/>
          <w:jc w:val="center"/>
        </w:trPr>
        <w:tc>
          <w:tcPr>
            <w:tcW w:w="85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139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575" w:hRule="atLeast"/>
          <w:jc w:val="center"/>
        </w:trPr>
        <w:tc>
          <w:tcPr>
            <w:tcW w:w="85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代表人</w:t>
            </w:r>
          </w:p>
        </w:tc>
        <w:tc>
          <w:tcPr>
            <w:tcW w:w="4139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575" w:hRule="atLeast"/>
          <w:jc w:val="center"/>
        </w:trPr>
        <w:tc>
          <w:tcPr>
            <w:tcW w:w="85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139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575" w:hRule="atLeast"/>
          <w:jc w:val="center"/>
        </w:trPr>
        <w:tc>
          <w:tcPr>
            <w:tcW w:w="85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4139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575" w:hRule="atLeast"/>
          <w:jc w:val="center"/>
        </w:trPr>
        <w:tc>
          <w:tcPr>
            <w:tcW w:w="85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注册资本</w:t>
            </w:r>
          </w:p>
        </w:tc>
        <w:tc>
          <w:tcPr>
            <w:tcW w:w="4139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575" w:hRule="atLeast"/>
          <w:jc w:val="center"/>
        </w:trPr>
        <w:tc>
          <w:tcPr>
            <w:tcW w:w="85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4139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575" w:hRule="atLeast"/>
          <w:jc w:val="center"/>
        </w:trPr>
        <w:tc>
          <w:tcPr>
            <w:tcW w:w="858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7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0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575" w:hRule="atLeast"/>
          <w:jc w:val="center"/>
        </w:trPr>
        <w:tc>
          <w:tcPr>
            <w:tcW w:w="858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140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90" w:hRule="atLeast"/>
          <w:jc w:val="center"/>
        </w:trPr>
        <w:tc>
          <w:tcPr>
            <w:tcW w:w="858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规模</w:t>
            </w:r>
          </w:p>
        </w:tc>
        <w:tc>
          <w:tcPr>
            <w:tcW w:w="4139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本项目所属行业为“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”，根据《工业和信息化部、国家统计局、国家发展和改革委员会、财政部关于印发中小企业划型标准规定的通知》（工信部联企业〔2011〕300号）文件进行划分标准，我单位为以下类型企业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/非企业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（打“√”）：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0" w:leftChars="0" w:firstLine="48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大型企业；□中型企业；□小型企业；□微型企业；□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主体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根据工信部联企业〔2011〕300号《关于印发中小企业划型标准规定的通知》第四条第</w:t>
            </w: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 xml:space="preserve">款：工业。从业人员1000人以下或营业收入40000万元以下的为中小微型企业。其中，从业人员300人及以上，且营业收入2000万元及以上的为中型企业；从业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 xml:space="preserve">人员20人及以上，且营业收入300万元及以上的为小型企业；从业人员20人以下或营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 xml:space="preserve">业收入300万元以下的为微型企业。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Chars="0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u w:val="single"/>
                <w:lang w:val="en-US" w:eastAsia="zh-CN"/>
              </w:rPr>
              <w:t>本项目类别为：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1"/>
                <w:szCs w:val="21"/>
                <w:u w:val="singl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。根据财政部关于印发《政府采购促进中小企业发展管理办法》的通知，第四条第</w:t>
            </w: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款：</w:t>
            </w: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在货物采购项目中，货物由中小企业制造，即货物由中小企业生产且使用该中小企业商号或者注册商标；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570" w:hRule="atLeast"/>
          <w:jc w:val="center"/>
        </w:trPr>
        <w:tc>
          <w:tcPr>
            <w:tcW w:w="859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针对本项目报价情况</w:t>
            </w: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报价情况</w:t>
            </w:r>
          </w:p>
        </w:tc>
        <w:tc>
          <w:tcPr>
            <w:tcW w:w="346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>人民币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720" w:hRule="atLeast"/>
          <w:jc w:val="center"/>
        </w:trPr>
        <w:tc>
          <w:tcPr>
            <w:tcW w:w="85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报价依据</w:t>
            </w:r>
          </w:p>
        </w:tc>
        <w:tc>
          <w:tcPr>
            <w:tcW w:w="346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/>
              <w:overflowPunct/>
              <w:autoSpaceDE/>
              <w:autoSpaceDN/>
              <w:adjustRightInd/>
              <w:spacing w:line="240" w:lineRule="auto"/>
              <w:jc w:val="left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人民币报价，投标报价包括了运至用户指定安装地点的货物及其附件的出厂价（设备费、软件费等）、税费（含进口关税、增值税等）、包装、运输、装卸、安装、调试、技术服务（包括技术资料）、培训、咨询、服务、保险、检测、验收合格交付使用之前及技术和售后服务等其他各项有关费用（如文件移交、考察等费用），以及一切不可预见费等，项目结算时不做任何单价或费用的调整(因数量变更除外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pct"/>
          <w:trHeight w:val="720" w:hRule="atLeast"/>
          <w:jc w:val="center"/>
        </w:trPr>
        <w:tc>
          <w:tcPr>
            <w:tcW w:w="85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报价要求</w:t>
            </w:r>
          </w:p>
        </w:tc>
        <w:tc>
          <w:tcPr>
            <w:tcW w:w="346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Chars="0"/>
              <w:textAlignment w:val="auto"/>
              <w:outlineLvl w:val="9"/>
              <w:rPr>
                <w:rFonts w:hint="eastAsia" w:ascii="宋体" w:hAnsi="宋体" w:eastAsia="宋体" w:cs="宋体"/>
                <w:i/>
                <w:iCs/>
                <w:color w:val="1F08FE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潜在供应商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根据采购需求给出报价，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u w:val="single"/>
                <w:lang w:val="en-US" w:eastAsia="zh-CN"/>
              </w:rPr>
              <w:t>但潜在供应商本次报价不作为后续投标环节的限制性因素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u w:val="single"/>
                <w:lang w:val="en-US" w:eastAsia="zh-CN"/>
              </w:rPr>
              <w:t>潜在供应商应充分考虑可能出现的其他风险，并在投标报价环节中自行考虑。</w:t>
            </w:r>
          </w:p>
        </w:tc>
      </w:tr>
    </w:tbl>
    <w:p>
      <w:pPr>
        <w:numPr>
          <w:ilvl w:val="0"/>
          <w:numId w:val="1"/>
        </w:numPr>
        <w:spacing w:line="560" w:lineRule="exact"/>
        <w:ind w:left="0" w:leftChars="0" w:firstLine="0" w:firstLineChars="0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市场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主体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同类采购项目历史成交信息</w:t>
      </w:r>
      <w:r>
        <w:rPr>
          <w:rFonts w:hint="eastAsia" w:ascii="宋体" w:hAnsi="宋体" w:eastAsia="宋体" w:cs="宋体"/>
          <w:b/>
          <w:bCs/>
          <w:i/>
          <w:iCs/>
          <w:color w:val="0000FF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/>
          <w:iCs/>
          <w:color w:val="0000FF"/>
          <w:sz w:val="24"/>
          <w:szCs w:val="24"/>
          <w:lang w:val="en-US" w:eastAsia="zh-CN"/>
        </w:rPr>
        <w:t>仅需提供数据信息，不需要提供合同关键页等证明材料</w:t>
      </w:r>
      <w:r>
        <w:rPr>
          <w:rFonts w:hint="eastAsia" w:ascii="宋体" w:hAnsi="宋体" w:eastAsia="宋体" w:cs="宋体"/>
          <w:b/>
          <w:bCs/>
          <w:i/>
          <w:iCs/>
          <w:color w:val="0000FF"/>
          <w:sz w:val="24"/>
          <w:szCs w:val="24"/>
          <w:lang w:eastAsia="zh-CN"/>
        </w:rPr>
        <w:t>）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460"/>
        <w:gridCol w:w="1291"/>
        <w:gridCol w:w="1762"/>
        <w:gridCol w:w="1256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采购人</w:t>
            </w:r>
            <w:r>
              <w:rPr>
                <w:rFonts w:hint="eastAsia" w:ascii="宋体" w:hAnsi="Calibri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中标金额或费率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服务范围</w:t>
            </w:r>
          </w:p>
        </w:tc>
        <w:tc>
          <w:tcPr>
            <w:tcW w:w="882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宋体" w:hAnsi="Calibri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合同签订时间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30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7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4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7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2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30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7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4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7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2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30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Calibri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57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Calibri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Calibri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Calibri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7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Calibri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Calibri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30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Calibri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857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Calibri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Calibri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Calibri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7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Calibri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2" w:type="pct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Calibri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pacing w:line="560" w:lineRule="exact"/>
        <w:ind w:left="0" w:leftChars="0" w:firstLine="0" w:firstLineChars="0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行业发展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现状及调研主体的优势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</w:rPr>
        <w:t>现有产品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  <w:t>或服务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</w:rPr>
        <w:t>的技术路线、工艺水平、技术水平或行业的发展历程、行业现状等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；</w:t>
      </w:r>
    </w:p>
    <w:p>
      <w:pPr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kern w:val="2"/>
          <w:sz w:val="24"/>
          <w:szCs w:val="24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行业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</w:rPr>
        <w:t>涉及的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特殊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</w:rPr>
        <w:t>企业资质、人员资质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、产品资质等；</w:t>
      </w:r>
    </w:p>
    <w:p>
      <w:pPr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eastAsia"/>
          <w:lang w:eastAsia="zh-CN"/>
        </w:rPr>
      </w:pPr>
      <w:r>
        <w:rPr>
          <w:rFonts w:hint="eastAsia"/>
          <w:kern w:val="2"/>
          <w:sz w:val="24"/>
          <w:szCs w:val="22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行业涉及的相关标准和规范；</w:t>
      </w:r>
    </w:p>
    <w:p>
      <w:pPr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kern w:val="2"/>
          <w:sz w:val="24"/>
          <w:szCs w:val="24"/>
          <w:lang w:val="en-US" w:eastAsia="zh-CN" w:bidi="ar-SA"/>
        </w:rPr>
        <w:t>（四）</w:t>
      </w:r>
      <w:r>
        <w:rPr>
          <w:rFonts w:hint="eastAsia" w:ascii="宋体" w:hAnsi="宋体" w:cs="宋体"/>
          <w:i w:val="0"/>
          <w:iCs w:val="0"/>
          <w:kern w:val="2"/>
          <w:sz w:val="24"/>
          <w:szCs w:val="24"/>
          <w:lang w:val="en-US" w:eastAsia="zh-CN" w:bidi="ar-SA"/>
        </w:rPr>
        <w:t>市场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调研主体针对上述三条的优势；</w:t>
      </w:r>
    </w:p>
    <w:p>
      <w:pPr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kern w:val="2"/>
          <w:sz w:val="24"/>
          <w:szCs w:val="24"/>
          <w:lang w:val="en-US" w:eastAsia="zh-CN" w:bidi="ar-SA"/>
        </w:rPr>
        <w:t>（五）</w:t>
      </w:r>
      <w:r>
        <w:rPr>
          <w:rFonts w:hint="eastAsia" w:ascii="宋体" w:hAnsi="宋体" w:cs="宋体"/>
          <w:i w:val="0"/>
          <w:iCs w:val="0"/>
          <w:kern w:val="2"/>
          <w:sz w:val="24"/>
          <w:szCs w:val="24"/>
          <w:lang w:val="en-US" w:eastAsia="zh-CN" w:bidi="ar-SA"/>
        </w:rPr>
        <w:t>市场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调研主体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  <w:t>针对本项目后续实施可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提供的增值服务；</w:t>
      </w:r>
    </w:p>
    <w:p>
      <w:pPr>
        <w:outlineLvl w:val="9"/>
        <w:rPr>
          <w:rFonts w:hint="eastAsia"/>
          <w:lang w:eastAsia="zh-CN"/>
        </w:rPr>
      </w:pP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市场供给情况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市场竞争程度</w:t>
      </w:r>
      <w:r>
        <w:rPr>
          <w:rFonts w:hint="eastAsia" w:ascii="宋体" w:hAnsi="宋体" w:eastAsia="宋体" w:cs="宋体"/>
          <w:i/>
          <w:iCs/>
          <w:sz w:val="22"/>
          <w:szCs w:val="22"/>
          <w:u w:val="none"/>
          <w:lang w:eastAsia="zh-CN"/>
        </w:rPr>
        <w:t>（可举例有代表性的综合性企业、发展型企业名单）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及调研主体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  <w:t>自身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的竞争优势：</w:t>
      </w:r>
    </w:p>
    <w:p>
      <w:pPr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kern w:val="2"/>
          <w:sz w:val="24"/>
          <w:szCs w:val="24"/>
          <w:lang w:val="en-US" w:eastAsia="zh-CN" w:bidi="ar-SA"/>
        </w:rPr>
        <w:t>（二）</w:t>
      </w:r>
      <w:r>
        <w:rPr>
          <w:rFonts w:hint="eastAsia" w:ascii="宋体" w:hAnsi="宋体" w:cs="宋体"/>
          <w:i w:val="0"/>
          <w:iCs w:val="0"/>
          <w:kern w:val="2"/>
          <w:sz w:val="24"/>
          <w:szCs w:val="24"/>
          <w:lang w:val="en-US" w:eastAsia="zh-CN" w:bidi="ar-SA"/>
        </w:rPr>
        <w:t>市场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调研主体的履约能力、售后服务能力。</w:t>
      </w:r>
    </w:p>
    <w:p>
      <w:pPr>
        <w:outlineLvl w:val="9"/>
        <w:rPr>
          <w:rFonts w:hint="eastAsia"/>
          <w:lang w:eastAsia="zh-CN"/>
        </w:rPr>
      </w:pP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后续采购情况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可能涉及的运行维护、备品备件、耗材等一系列后续采购情况。（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  <w:t>如不存在相关情况可填写“无”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eastAsia="zh-CN"/>
        </w:rPr>
        <w:t>）</w:t>
      </w:r>
    </w:p>
    <w:p>
      <w:pPr>
        <w:outlineLvl w:val="9"/>
        <w:rPr>
          <w:rFonts w:hint="eastAsia"/>
          <w:lang w:eastAsia="zh-CN"/>
        </w:rPr>
      </w:pP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其他情况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240" w:lineRule="auto"/>
        <w:ind w:left="0" w:leftChars="0" w:firstLine="0" w:firstLineChars="0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调研主体认为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自身可提供最能符合采购人技术需求的产品情况及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自身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的相关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商务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条款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响应情况：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1.自身可提供最能符合采购人技术需求的产品情况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（1）产品品牌、型号：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（2）产品主要技术参数及配置清单情况：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（3）相关产品（同品牌型号）历史成交情况（例举具有代表性的成交业绩，包括但不限于采购单位名称、联系人及联系方式、成交金额）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2.自身可提供最能符合采购人商务需求的产品情况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对于现有采购需求，调研主体认为可以优化的相关条款及对应说明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或建议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outlineLvl w:val="1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）调研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认为可以提交的其他材料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u w:val="none"/>
          <w:lang w:eastAsia="zh-CN"/>
        </w:rPr>
        <w:t>。</w:t>
      </w:r>
    </w:p>
    <w:p>
      <w:pPr>
        <w:ind w:firstLine="3000" w:firstLineChars="1250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3000" w:firstLineChars="1250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3000" w:firstLineChars="1250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ind w:left="0" w:leftChars="0" w:firstLine="6240" w:firstLineChars="260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单位名称（盖章）：</w:t>
      </w:r>
    </w:p>
    <w:p>
      <w:pPr>
        <w:ind w:left="0" w:leftChars="0" w:firstLine="6240" w:firstLineChars="260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515BF"/>
    <w:multiLevelType w:val="singleLevel"/>
    <w:tmpl w:val="818515B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TUyNWY1MjEzZDlkODU4MWJjY2Q2ZWVmM2Y5ODAifQ=="/>
  </w:docVars>
  <w:rsids>
    <w:rsidRoot w:val="1822779B"/>
    <w:rsid w:val="1822779B"/>
    <w:rsid w:val="37DB7102"/>
    <w:rsid w:val="69A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2024-03-26T03:16:00Z</dcterms:created>
  <dc:creator>24号</dc:creator>
  <cp:lastModifiedBy>24号</cp:lastModifiedBy>
  <dcterms:modified xsi:type="dcterms:W3CDTF">2024-03-27T08:14:33Z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006AB9D65EB44842B8922EDC36E2C791_11</vt:lpwstr>
  </property>
</Properties>
</file>