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宋体" w:cs="Times New Roman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宋体" w:cs="Times New Roman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spacing w:line="400" w:lineRule="exact"/>
        <w:ind w:firstLine="2530" w:firstLineChars="900"/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临床试验合作方承诺书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22" w:firstLineChars="200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（人/公司/其他组织，以下简称“单位”），全称：（单位名称），作为（研究名称）临床试验，与深圳市人民医院（以下简称“医疗机构”）的合作单位（申办方/合同研究组织/第三方检测机构），特此承诺：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FF0000"/>
          <w:szCs w:val="21"/>
        </w:rPr>
      </w:pPr>
      <w:r>
        <w:rPr>
          <w:rFonts w:hint="eastAsia" w:ascii="Times New Roman" w:hAnsi="Times New Roman" w:eastAsia="宋体" w:cs="Times New Roman"/>
          <w:b/>
          <w:color w:val="FF0000"/>
          <w:szCs w:val="21"/>
        </w:rPr>
        <w:t>依照《人类遗传资源管理条例实施细则》第十二条所列正文：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FF0000"/>
          <w:szCs w:val="21"/>
        </w:rPr>
      </w:pPr>
      <w:r>
        <w:rPr>
          <w:rFonts w:hint="eastAsia" w:ascii="Times New Roman" w:hAnsi="Times New Roman" w:eastAsia="宋体" w:cs="Times New Roman"/>
          <w:b/>
          <w:color w:val="FF0000"/>
          <w:szCs w:val="21"/>
        </w:rPr>
        <w:t>第十二条 本实施细则第十一条所称境外组织、个人设立或者实际控制的机构，包括下列情形：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FF0000"/>
          <w:szCs w:val="21"/>
        </w:rPr>
      </w:pPr>
      <w:r>
        <w:rPr>
          <w:rFonts w:hint="eastAsia" w:ascii="Times New Roman" w:hAnsi="Times New Roman" w:eastAsia="宋体" w:cs="Times New Roman"/>
          <w:b/>
          <w:color w:val="FF0000"/>
          <w:szCs w:val="21"/>
        </w:rPr>
        <w:t>　　（一）境外组织、个人持有或者间接持有机构百分之五十以上的股份、股权、表决权、财产份额或者其他类似权益；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FF0000"/>
          <w:szCs w:val="21"/>
        </w:rPr>
      </w:pPr>
      <w:r>
        <w:rPr>
          <w:rFonts w:hint="eastAsia" w:ascii="Times New Roman" w:hAnsi="Times New Roman" w:eastAsia="宋体" w:cs="Times New Roman"/>
          <w:b/>
          <w:color w:val="FF0000"/>
          <w:szCs w:val="21"/>
        </w:rPr>
        <w:t>　　（二）境外组织、个人持有或者间接持有机构的股份、股权、表决权、财产份额或者其他类似权益不足百分之五十，但其所享有的表决权或者其他权益足以对机构的决策、管理等行为进行支配或者施加重大影响；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FF0000"/>
          <w:szCs w:val="21"/>
        </w:rPr>
      </w:pPr>
      <w:r>
        <w:rPr>
          <w:rFonts w:hint="eastAsia" w:ascii="Times New Roman" w:hAnsi="Times New Roman" w:eastAsia="宋体" w:cs="Times New Roman"/>
          <w:b/>
          <w:color w:val="FF0000"/>
          <w:szCs w:val="21"/>
        </w:rPr>
        <w:t>　　（三）境外组织、个人通过投资关系、协议或者其他安排，足以对机构的决策、管理等行为进行支配或者施加重大影响；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FF0000"/>
          <w:szCs w:val="21"/>
        </w:rPr>
      </w:pPr>
      <w:r>
        <w:rPr>
          <w:rFonts w:hint="eastAsia" w:ascii="Times New Roman" w:hAnsi="Times New Roman" w:eastAsia="宋体" w:cs="Times New Roman"/>
          <w:b/>
          <w:color w:val="FF0000"/>
          <w:szCs w:val="21"/>
        </w:rPr>
        <w:t>（四）法律、行政法规、规章规定的其他情形。</w:t>
      </w:r>
    </w:p>
    <w:p>
      <w:pPr>
        <w:spacing w:line="400" w:lineRule="exact"/>
        <w:ind w:firstLine="422" w:firstLineChars="200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本单位经过慎重排查，确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认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本单位不属于以上法规所列情形之“境外组织、个人设立或者实际控制的机构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，并承担所有相应的法律责任。如在合作过程中有单位性质变的情形，本单位将即时与医疗机构沟通，并依法做出匹配监管要求的工作调整。</w:t>
      </w: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4427" w:firstLineChars="2100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法人（或合法授权人）签字/签章</w:t>
      </w:r>
    </w:p>
    <w:p>
      <w:pPr>
        <w:spacing w:line="400" w:lineRule="exact"/>
        <w:ind w:firstLine="4638" w:firstLineChars="2200"/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单位盖章</w:t>
      </w:r>
    </w:p>
    <w:p>
      <w:pPr>
        <w:spacing w:line="400" w:lineRule="exact"/>
        <w:ind w:firstLine="5481" w:firstLineChars="2600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年    月    日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Times New Roman" w:hAnsi="Times New Roman" w:eastAsia="宋体" w:cs="Times New Roman"/>
        <w:bCs/>
        <w:szCs w:val="21"/>
      </w:rPr>
      <w:t>深圳市人民</w:t>
    </w:r>
    <w:bookmarkStart w:id="0" w:name="_GoBack"/>
    <w:bookmarkEnd w:id="0"/>
    <w:r>
      <w:rPr>
        <w:rFonts w:ascii="Times New Roman" w:hAnsi="Times New Roman" w:eastAsia="宋体" w:cs="Times New Roman"/>
        <w:bCs/>
        <w:szCs w:val="21"/>
      </w:rPr>
      <w:t>医院人类遗传资源项目申报审批管理SOP</w:t>
    </w:r>
    <w:r>
      <w:rPr>
        <w:rFonts w:hint="eastAsia" w:ascii="Times New Roman" w:hAnsi="Times New Roman" w:eastAsia="宋体" w:cs="Times New Roman"/>
        <w:i/>
        <w:lang w:eastAsia="zh-CN"/>
      </w:rPr>
      <w:t xml:space="preserve"> </w:t>
    </w:r>
    <w:r>
      <w:rPr>
        <w:rFonts w:hint="eastAsia" w:ascii="Times New Roman" w:hAnsi="Times New Roman" w:eastAsia="宋体" w:cs="Times New Roman"/>
        <w:i/>
        <w:lang w:val="en-US" w:eastAsia="zh-CN"/>
      </w:rPr>
      <w:t xml:space="preserve"> </w:t>
    </w:r>
    <w:r>
      <w:rPr>
        <w:rFonts w:ascii="Times New Roman" w:hAnsi="Times New Roman" w:eastAsia="宋体" w:cs="Times New Roman"/>
        <w:i/>
      </w:rPr>
      <w:ptab w:relativeTo="margin" w:alignment="right" w:leader="none"/>
    </w:r>
    <w:r>
      <w:rPr>
        <w:rFonts w:ascii="Times New Roman" w:hAnsi="Times New Roman" w:eastAsia="宋体" w:cs="Times New Roman"/>
        <w:szCs w:val="21"/>
      </w:rPr>
      <w:t>JG-CX-041-0</w:t>
    </w:r>
    <w:r>
      <w:rPr>
        <w:rFonts w:hint="eastAsia" w:ascii="Times New Roman" w:hAnsi="Times New Roman" w:eastAsia="宋体" w:cs="Times New Roman"/>
        <w:szCs w:val="21"/>
        <w:lang w:val="en-US" w:eastAsia="zh-CN"/>
      </w:rPr>
      <w:t>2</w:t>
    </w:r>
    <w:r>
      <w:rPr>
        <w:rFonts w:ascii="Times New Roman" w:hAnsi="Times New Roman" w:eastAsia="宋体" w:cs="Times New Roman"/>
        <w:szCs w:val="21"/>
      </w:rPr>
      <w:t>-0</w:t>
    </w:r>
    <w:r>
      <w:rPr>
        <w:rFonts w:hint="eastAsia" w:ascii="Times New Roman" w:hAnsi="Times New Roman" w:eastAsia="宋体" w:cs="Times New Roman"/>
        <w:szCs w:val="21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0000000"/>
    <w:rsid w:val="6B1F31FC"/>
    <w:rsid w:val="7B11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2023-09-01T03:24:00Z</dcterms:created>
  <dc:creator>Administrator</dc:creator>
  <cp:lastModifiedBy>种得芭蕉听雨声</cp:lastModifiedBy>
  <dcterms:modified xsi:type="dcterms:W3CDTF">2023-09-05T01:31:42Z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F2D7C6C2F235447380E73BDE64E3914A_12</vt:lpwstr>
  </property>
</Properties>
</file>